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B16C" w14:textId="244698BD" w:rsidR="002D0491" w:rsidRPr="005E7246" w:rsidRDefault="002D0491" w:rsidP="002D0491">
      <w:pPr>
        <w:pStyle w:val="NormalWeb"/>
        <w:shd w:val="clear" w:color="auto" w:fill="FAFAFA"/>
        <w:jc w:val="center"/>
        <w:rPr>
          <w:rFonts w:ascii="Arial" w:hAnsi="Arial" w:cs="Arial"/>
          <w:b/>
          <w:bCs/>
          <w:color w:val="FF0000"/>
          <w:sz w:val="32"/>
          <w:szCs w:val="32"/>
        </w:rPr>
      </w:pPr>
      <w:r w:rsidRPr="005E7246">
        <w:rPr>
          <w:rFonts w:ascii="Arial" w:hAnsi="Arial" w:cs="Arial"/>
          <w:b/>
          <w:bCs/>
          <w:color w:val="FF0000"/>
          <w:sz w:val="32"/>
          <w:szCs w:val="32"/>
        </w:rPr>
        <w:t>Level 1 Literacy</w:t>
      </w:r>
    </w:p>
    <w:p w14:paraId="60328CE2" w14:textId="4F839D27" w:rsidR="00BB2925" w:rsidRPr="001309EA" w:rsidRDefault="00BB2925" w:rsidP="00BB2925">
      <w:pPr>
        <w:pStyle w:val="NormalWeb"/>
        <w:shd w:val="clear" w:color="auto" w:fill="FAFAFA"/>
        <w:rPr>
          <w:rFonts w:ascii="Arial" w:hAnsi="Arial" w:cs="Arial"/>
          <w:color w:val="000000"/>
          <w:sz w:val="20"/>
          <w:szCs w:val="20"/>
        </w:rPr>
      </w:pPr>
      <w:r w:rsidRPr="001309EA">
        <w:rPr>
          <w:rFonts w:ascii="Arial" w:hAnsi="Arial" w:cs="Arial"/>
          <w:color w:val="000000"/>
          <w:sz w:val="20"/>
          <w:szCs w:val="20"/>
        </w:rPr>
        <w:t>These changes are happening for NCEA Level 1 in 2023, Level 2 in 2024, and Level 3 in 2025. </w:t>
      </w:r>
    </w:p>
    <w:p w14:paraId="0E539982" w14:textId="571FBA36" w:rsidR="00BB2925" w:rsidRPr="001309EA" w:rsidRDefault="00BB2925" w:rsidP="00BB2925">
      <w:pPr>
        <w:pStyle w:val="NormalWeb"/>
        <w:shd w:val="clear" w:color="auto" w:fill="FAFAFA"/>
        <w:rPr>
          <w:rFonts w:ascii="Arial" w:hAnsi="Arial" w:cs="Arial"/>
          <w:color w:val="000000"/>
          <w:sz w:val="20"/>
          <w:szCs w:val="20"/>
        </w:rPr>
      </w:pPr>
      <w:r w:rsidRPr="001309EA">
        <w:rPr>
          <w:rFonts w:ascii="Arial" w:hAnsi="Arial" w:cs="Arial"/>
          <w:color w:val="000000"/>
          <w:sz w:val="20"/>
          <w:szCs w:val="20"/>
        </w:rPr>
        <w:t>The Review of Achievement Standards has been rephased so that the new Level 1 achievement standards will be fully implemented in 2024</w:t>
      </w:r>
      <w:r w:rsidRPr="001309EA">
        <w:rPr>
          <w:rFonts w:ascii="Arial" w:hAnsi="Arial" w:cs="Arial"/>
          <w:color w:val="000000"/>
          <w:sz w:val="20"/>
          <w:szCs w:val="20"/>
        </w:rPr>
        <w:t>…</w:t>
      </w:r>
    </w:p>
    <w:p w14:paraId="773780C1" w14:textId="1224A1D7" w:rsidR="00BB2925" w:rsidRPr="001309EA" w:rsidRDefault="00424C5E" w:rsidP="00BB2925">
      <w:pPr>
        <w:pStyle w:val="NormalWeb"/>
        <w:shd w:val="clear" w:color="auto" w:fill="FAFAFA"/>
        <w:rPr>
          <w:rFonts w:ascii="Arial" w:hAnsi="Arial" w:cs="Arial"/>
          <w:color w:val="000000"/>
          <w:sz w:val="20"/>
          <w:szCs w:val="20"/>
        </w:rPr>
      </w:pPr>
      <w:hyperlink r:id="rId4" w:history="1">
        <w:r w:rsidRPr="001309EA">
          <w:rPr>
            <w:rStyle w:val="Hyperlink"/>
            <w:rFonts w:ascii="Arial" w:hAnsi="Arial" w:cs="Arial"/>
            <w:sz w:val="20"/>
            <w:szCs w:val="20"/>
          </w:rPr>
          <w:t>https://ncea.education.govt.nz/understanding-how-ncea-requirements-are-changing#:~:text=These%20changes%20are,implemented%20in%</w:t>
        </w:r>
        <w:r w:rsidRPr="001309EA">
          <w:rPr>
            <w:rStyle w:val="Hyperlink"/>
            <w:rFonts w:ascii="Arial" w:hAnsi="Arial" w:cs="Arial"/>
            <w:sz w:val="20"/>
            <w:szCs w:val="20"/>
          </w:rPr>
          <w:t>2</w:t>
        </w:r>
        <w:r w:rsidRPr="001309EA">
          <w:rPr>
            <w:rStyle w:val="Hyperlink"/>
            <w:rFonts w:ascii="Arial" w:hAnsi="Arial" w:cs="Arial"/>
            <w:sz w:val="20"/>
            <w:szCs w:val="20"/>
          </w:rPr>
          <w:t>02024%2C</w:t>
        </w:r>
      </w:hyperlink>
      <w:r w:rsidRPr="001309EA">
        <w:rPr>
          <w:rFonts w:ascii="Arial" w:hAnsi="Arial" w:cs="Arial"/>
          <w:color w:val="000000"/>
          <w:sz w:val="20"/>
          <w:szCs w:val="20"/>
        </w:rPr>
        <w:t xml:space="preserve"> </w:t>
      </w:r>
    </w:p>
    <w:p w14:paraId="10861BF8" w14:textId="77777777" w:rsidR="00BB2925" w:rsidRPr="001309EA" w:rsidRDefault="00BB2925">
      <w:pPr>
        <w:rPr>
          <w:rFonts w:ascii="Arial" w:hAnsi="Arial" w:cs="Arial"/>
          <w:color w:val="000000"/>
          <w:spacing w:val="-3"/>
          <w:sz w:val="20"/>
          <w:szCs w:val="20"/>
          <w:shd w:val="clear" w:color="auto" w:fill="FAFAFA"/>
        </w:rPr>
      </w:pPr>
    </w:p>
    <w:p w14:paraId="0154CC52" w14:textId="638AADCC" w:rsidR="001B6821" w:rsidRPr="001309EA" w:rsidRDefault="001B6821">
      <w:pPr>
        <w:rPr>
          <w:rFonts w:ascii="Arial" w:hAnsi="Arial" w:cs="Arial"/>
          <w:color w:val="000000"/>
          <w:spacing w:val="-3"/>
          <w:sz w:val="20"/>
          <w:szCs w:val="20"/>
          <w:shd w:val="clear" w:color="auto" w:fill="FAFAFA"/>
        </w:rPr>
      </w:pPr>
      <w:r w:rsidRPr="001309EA">
        <w:rPr>
          <w:rFonts w:ascii="Arial" w:hAnsi="Arial" w:cs="Arial"/>
          <w:color w:val="000000"/>
          <w:spacing w:val="-3"/>
          <w:sz w:val="20"/>
          <w:szCs w:val="20"/>
          <w:shd w:val="clear" w:color="auto" w:fill="FAFAFA"/>
        </w:rPr>
        <w:t xml:space="preserve">Learners will be able to continue on their learning programme towards NCEA while they work towards achieving the Te Reo </w:t>
      </w:r>
      <w:proofErr w:type="spellStart"/>
      <w:r w:rsidRPr="001309EA">
        <w:rPr>
          <w:rFonts w:ascii="Arial" w:hAnsi="Arial" w:cs="Arial"/>
          <w:color w:val="000000"/>
          <w:spacing w:val="-3"/>
          <w:sz w:val="20"/>
          <w:szCs w:val="20"/>
          <w:shd w:val="clear" w:color="auto" w:fill="FAFAFA"/>
        </w:rPr>
        <w:t>Matatini</w:t>
      </w:r>
      <w:proofErr w:type="spellEnd"/>
      <w:r w:rsidRPr="001309EA">
        <w:rPr>
          <w:rFonts w:ascii="Arial" w:hAnsi="Arial" w:cs="Arial"/>
          <w:color w:val="000000"/>
          <w:spacing w:val="-3"/>
          <w:sz w:val="20"/>
          <w:szCs w:val="20"/>
          <w:shd w:val="clear" w:color="auto" w:fill="FAFAFA"/>
        </w:rPr>
        <w:t xml:space="preserve"> me te </w:t>
      </w:r>
      <w:proofErr w:type="spellStart"/>
      <w:r w:rsidRPr="001309EA">
        <w:rPr>
          <w:rFonts w:ascii="Arial" w:hAnsi="Arial" w:cs="Arial"/>
          <w:color w:val="000000"/>
          <w:spacing w:val="-3"/>
          <w:sz w:val="20"/>
          <w:szCs w:val="20"/>
          <w:shd w:val="clear" w:color="auto" w:fill="FAFAFA"/>
        </w:rPr>
        <w:t>Pāngarau</w:t>
      </w:r>
      <w:proofErr w:type="spellEnd"/>
      <w:r w:rsidRPr="001309EA">
        <w:rPr>
          <w:rFonts w:ascii="Arial" w:hAnsi="Arial" w:cs="Arial"/>
          <w:color w:val="000000"/>
          <w:spacing w:val="-3"/>
          <w:sz w:val="20"/>
          <w:szCs w:val="20"/>
          <w:shd w:val="clear" w:color="auto" w:fill="FAFAFA"/>
        </w:rPr>
        <w:t xml:space="preserve"> | Literacy and Numeracy co-requisite. However, they will need to achieve the 20 credit </w:t>
      </w:r>
      <w:r w:rsidRPr="001309EA">
        <w:rPr>
          <w:rFonts w:ascii="Arial" w:hAnsi="Arial" w:cs="Arial"/>
          <w:b/>
          <w:bCs/>
          <w:color w:val="FF0000"/>
          <w:spacing w:val="-3"/>
          <w:sz w:val="20"/>
          <w:szCs w:val="20"/>
          <w:shd w:val="clear" w:color="auto" w:fill="FAFAFA"/>
        </w:rPr>
        <w:t>co-</w:t>
      </w:r>
      <w:r w:rsidRPr="001309EA">
        <w:rPr>
          <w:rFonts w:ascii="Arial" w:hAnsi="Arial" w:cs="Arial"/>
          <w:color w:val="000000"/>
          <w:spacing w:val="-3"/>
          <w:sz w:val="20"/>
          <w:szCs w:val="20"/>
          <w:shd w:val="clear" w:color="auto" w:fill="FAFAFA"/>
        </w:rPr>
        <w:t>requisite</w:t>
      </w:r>
      <w:r w:rsidR="00095D54" w:rsidRPr="001309EA">
        <w:rPr>
          <w:rFonts w:ascii="Arial" w:hAnsi="Arial" w:cs="Arial"/>
          <w:color w:val="000000"/>
          <w:spacing w:val="-3"/>
          <w:sz w:val="20"/>
          <w:szCs w:val="20"/>
          <w:shd w:val="clear" w:color="auto" w:fill="FAFAFA"/>
        </w:rPr>
        <w:t xml:space="preserve"> </w:t>
      </w:r>
      <w:r w:rsidR="00095D54" w:rsidRPr="001309EA">
        <w:rPr>
          <w:rFonts w:ascii="Arial" w:hAnsi="Arial" w:cs="Arial"/>
          <w:i/>
          <w:iCs/>
          <w:color w:val="000000"/>
          <w:spacing w:val="-3"/>
          <w:sz w:val="20"/>
          <w:szCs w:val="20"/>
          <w:shd w:val="clear" w:color="auto" w:fill="FAFAFA"/>
        </w:rPr>
        <w:t xml:space="preserve">[note, not a </w:t>
      </w:r>
      <w:r w:rsidR="00095D54" w:rsidRPr="001309EA">
        <w:rPr>
          <w:rFonts w:ascii="Arial" w:hAnsi="Arial" w:cs="Arial"/>
          <w:b/>
          <w:bCs/>
          <w:i/>
          <w:iCs/>
          <w:color w:val="000000"/>
          <w:spacing w:val="-3"/>
          <w:sz w:val="20"/>
          <w:szCs w:val="20"/>
          <w:shd w:val="clear" w:color="auto" w:fill="FAFAFA"/>
        </w:rPr>
        <w:t>pre</w:t>
      </w:r>
      <w:r w:rsidR="00095D54" w:rsidRPr="001309EA">
        <w:rPr>
          <w:rFonts w:ascii="Arial" w:hAnsi="Arial" w:cs="Arial"/>
          <w:i/>
          <w:iCs/>
          <w:color w:val="000000"/>
          <w:spacing w:val="-3"/>
          <w:sz w:val="20"/>
          <w:szCs w:val="20"/>
          <w:shd w:val="clear" w:color="auto" w:fill="FAFAFA"/>
        </w:rPr>
        <w:t>-requisite]</w:t>
      </w:r>
      <w:r w:rsidRPr="001309EA">
        <w:rPr>
          <w:rFonts w:ascii="Arial" w:hAnsi="Arial" w:cs="Arial"/>
          <w:color w:val="000000"/>
          <w:spacing w:val="-3"/>
          <w:sz w:val="20"/>
          <w:szCs w:val="20"/>
          <w:shd w:val="clear" w:color="auto" w:fill="FAFAFA"/>
        </w:rPr>
        <w:t xml:space="preserve"> to be awarded their NCEA qualification. This means they will want to achieve them before finishing their NCEA studies.</w:t>
      </w:r>
    </w:p>
    <w:p w14:paraId="1BA4D579" w14:textId="08271513" w:rsidR="001B6821" w:rsidRPr="001309EA" w:rsidRDefault="001B6821">
      <w:pPr>
        <w:rPr>
          <w:rFonts w:ascii="Arial" w:hAnsi="Arial" w:cs="Arial"/>
          <w:color w:val="000000"/>
          <w:spacing w:val="-3"/>
          <w:sz w:val="20"/>
          <w:szCs w:val="20"/>
          <w:shd w:val="clear" w:color="auto" w:fill="FAFAFA"/>
        </w:rPr>
      </w:pPr>
      <w:hyperlink r:id="rId5" w:history="1">
        <w:r w:rsidRPr="001309EA">
          <w:rPr>
            <w:rStyle w:val="Hyperlink"/>
            <w:rFonts w:ascii="Arial" w:hAnsi="Arial" w:cs="Arial"/>
            <w:spacing w:val="-3"/>
            <w:sz w:val="20"/>
            <w:szCs w:val="20"/>
            <w:shd w:val="clear" w:color="auto" w:fill="FAFAFA"/>
          </w:rPr>
          <w:t>https://ncea.education.govt.nz/understanding-how-ncea-requirements-are-changing#:~:text=Learners%20will%20be,their%20NCEA%20studies</w:t>
        </w:r>
      </w:hyperlink>
      <w:r w:rsidRPr="001309EA">
        <w:rPr>
          <w:rFonts w:ascii="Arial" w:hAnsi="Arial" w:cs="Arial"/>
          <w:color w:val="000000"/>
          <w:spacing w:val="-3"/>
          <w:sz w:val="20"/>
          <w:szCs w:val="20"/>
          <w:shd w:val="clear" w:color="auto" w:fill="FAFAFA"/>
        </w:rPr>
        <w:t>.</w:t>
      </w:r>
    </w:p>
    <w:p w14:paraId="5975B3AD" w14:textId="77777777" w:rsidR="001B6821" w:rsidRPr="001309EA" w:rsidRDefault="001B6821">
      <w:pPr>
        <w:rPr>
          <w:rFonts w:ascii="Arial" w:hAnsi="Arial" w:cs="Arial"/>
          <w:color w:val="000000"/>
          <w:spacing w:val="-3"/>
          <w:sz w:val="20"/>
          <w:szCs w:val="20"/>
          <w:shd w:val="clear" w:color="auto" w:fill="FAFAFA"/>
        </w:rPr>
      </w:pPr>
    </w:p>
    <w:p w14:paraId="4A61C75B" w14:textId="1D9E3576" w:rsidR="00CE5DFB" w:rsidRPr="001309EA" w:rsidRDefault="00560206">
      <w:pPr>
        <w:rPr>
          <w:rFonts w:ascii="Arial" w:hAnsi="Arial" w:cs="Arial"/>
          <w:color w:val="000000"/>
          <w:spacing w:val="-3"/>
          <w:sz w:val="20"/>
          <w:szCs w:val="20"/>
          <w:shd w:val="clear" w:color="auto" w:fill="FAFAFA"/>
        </w:rPr>
      </w:pPr>
      <w:r w:rsidRPr="001309EA">
        <w:rPr>
          <w:rFonts w:ascii="Arial" w:hAnsi="Arial" w:cs="Arial"/>
          <w:color w:val="000000"/>
          <w:spacing w:val="-3"/>
          <w:sz w:val="20"/>
          <w:szCs w:val="20"/>
          <w:shd w:val="clear" w:color="auto" w:fill="FAFAFA"/>
        </w:rPr>
        <w:t xml:space="preserve">Learners </w:t>
      </w:r>
      <w:r w:rsidRPr="001309EA">
        <w:rPr>
          <w:rFonts w:ascii="Arial" w:hAnsi="Arial" w:cs="Arial"/>
          <w:b/>
          <w:bCs/>
          <w:color w:val="FF0000"/>
          <w:spacing w:val="-3"/>
          <w:sz w:val="20"/>
          <w:szCs w:val="20"/>
          <w:shd w:val="clear" w:color="auto" w:fill="FAFAFA"/>
        </w:rPr>
        <w:t>can use unit standards</w:t>
      </w:r>
      <w:r w:rsidRPr="001309EA">
        <w:rPr>
          <w:rFonts w:ascii="Arial" w:hAnsi="Arial" w:cs="Arial"/>
          <w:color w:val="FF0000"/>
          <w:spacing w:val="-3"/>
          <w:sz w:val="20"/>
          <w:szCs w:val="20"/>
          <w:shd w:val="clear" w:color="auto" w:fill="FAFAFA"/>
        </w:rPr>
        <w:t xml:space="preserve"> </w:t>
      </w:r>
      <w:r w:rsidRPr="001309EA">
        <w:rPr>
          <w:rFonts w:ascii="Arial" w:hAnsi="Arial" w:cs="Arial"/>
          <w:b/>
          <w:bCs/>
          <w:color w:val="000000"/>
          <w:spacing w:val="-3"/>
          <w:sz w:val="20"/>
          <w:szCs w:val="20"/>
          <w:shd w:val="clear" w:color="auto" w:fill="FAFAFA"/>
        </w:rPr>
        <w:t>as well as achievement standards</w:t>
      </w:r>
      <w:r w:rsidRPr="001309EA">
        <w:rPr>
          <w:rFonts w:ascii="Arial" w:hAnsi="Arial" w:cs="Arial"/>
          <w:color w:val="000000"/>
          <w:spacing w:val="-3"/>
          <w:sz w:val="20"/>
          <w:szCs w:val="20"/>
          <w:shd w:val="clear" w:color="auto" w:fill="FAFAFA"/>
        </w:rPr>
        <w:t xml:space="preserve"> to reach the credit requirement for each level of NCEA. They will also be able to use any skills standards set by Workforce Development Councils. The only unit standards they cannot use for the 60 credit requirement are the compulsory Te Reo </w:t>
      </w:r>
      <w:proofErr w:type="spellStart"/>
      <w:r w:rsidRPr="001309EA">
        <w:rPr>
          <w:rFonts w:ascii="Arial" w:hAnsi="Arial" w:cs="Arial"/>
          <w:color w:val="000000"/>
          <w:spacing w:val="-3"/>
          <w:sz w:val="20"/>
          <w:szCs w:val="20"/>
          <w:shd w:val="clear" w:color="auto" w:fill="FAFAFA"/>
        </w:rPr>
        <w:t>Matatini</w:t>
      </w:r>
      <w:proofErr w:type="spellEnd"/>
      <w:r w:rsidRPr="001309EA">
        <w:rPr>
          <w:rFonts w:ascii="Arial" w:hAnsi="Arial" w:cs="Arial"/>
          <w:color w:val="000000"/>
          <w:spacing w:val="-3"/>
          <w:sz w:val="20"/>
          <w:szCs w:val="20"/>
          <w:shd w:val="clear" w:color="auto" w:fill="FAFAFA"/>
        </w:rPr>
        <w:t xml:space="preserve"> me te </w:t>
      </w:r>
      <w:proofErr w:type="spellStart"/>
      <w:r w:rsidRPr="001309EA">
        <w:rPr>
          <w:rFonts w:ascii="Arial" w:hAnsi="Arial" w:cs="Arial"/>
          <w:color w:val="000000"/>
          <w:spacing w:val="-3"/>
          <w:sz w:val="20"/>
          <w:szCs w:val="20"/>
          <w:shd w:val="clear" w:color="auto" w:fill="FAFAFA"/>
        </w:rPr>
        <w:t>Pāngarau</w:t>
      </w:r>
      <w:proofErr w:type="spellEnd"/>
      <w:r w:rsidRPr="001309EA">
        <w:rPr>
          <w:rFonts w:ascii="Arial" w:hAnsi="Arial" w:cs="Arial"/>
          <w:color w:val="000000"/>
          <w:spacing w:val="-3"/>
          <w:sz w:val="20"/>
          <w:szCs w:val="20"/>
          <w:shd w:val="clear" w:color="auto" w:fill="FAFAFA"/>
        </w:rPr>
        <w:t xml:space="preserve"> | Literacy and Numeracy standards.</w:t>
      </w:r>
    </w:p>
    <w:p w14:paraId="5EAEC83B" w14:textId="2ECAC231" w:rsidR="001B6821" w:rsidRPr="001309EA" w:rsidRDefault="001B6821">
      <w:pPr>
        <w:rPr>
          <w:rFonts w:ascii="Arial" w:hAnsi="Arial" w:cs="Arial"/>
          <w:sz w:val="20"/>
          <w:szCs w:val="20"/>
        </w:rPr>
      </w:pPr>
      <w:hyperlink r:id="rId6" w:history="1">
        <w:r w:rsidRPr="001309EA">
          <w:rPr>
            <w:rStyle w:val="Hyperlink"/>
            <w:rFonts w:ascii="Arial" w:hAnsi="Arial" w:cs="Arial"/>
            <w:sz w:val="20"/>
            <w:szCs w:val="20"/>
          </w:rPr>
          <w:t>https://ncea.education.govt.nz/understanding-how-ncea-requirements-are-changing#:~:text=Learners%20can%20use,and%20Numeracy%20standards</w:t>
        </w:r>
      </w:hyperlink>
      <w:r w:rsidRPr="001309EA">
        <w:rPr>
          <w:rFonts w:ascii="Arial" w:hAnsi="Arial" w:cs="Arial"/>
          <w:sz w:val="20"/>
          <w:szCs w:val="20"/>
        </w:rPr>
        <w:t>.</w:t>
      </w:r>
    </w:p>
    <w:p w14:paraId="0D483B57" w14:textId="67AFAD53" w:rsidR="001B6821" w:rsidRPr="001309EA" w:rsidRDefault="001B6821">
      <w:pPr>
        <w:rPr>
          <w:rFonts w:ascii="Arial" w:hAnsi="Arial" w:cs="Arial"/>
          <w:sz w:val="20"/>
          <w:szCs w:val="20"/>
        </w:rPr>
      </w:pPr>
    </w:p>
    <w:p w14:paraId="59993EB7" w14:textId="1F72375E" w:rsidR="00BB2925" w:rsidRPr="001309EA" w:rsidRDefault="00BB2925">
      <w:pPr>
        <w:rPr>
          <w:rFonts w:ascii="Arial" w:hAnsi="Arial" w:cs="Arial"/>
          <w:color w:val="000000"/>
          <w:spacing w:val="-3"/>
          <w:sz w:val="20"/>
          <w:szCs w:val="20"/>
          <w:shd w:val="clear" w:color="auto" w:fill="FAFAFA"/>
        </w:rPr>
      </w:pPr>
      <w:r w:rsidRPr="001309EA">
        <w:rPr>
          <w:rFonts w:ascii="Arial" w:hAnsi="Arial" w:cs="Arial"/>
          <w:color w:val="000000"/>
          <w:spacing w:val="-3"/>
          <w:sz w:val="20"/>
          <w:szCs w:val="20"/>
          <w:shd w:val="clear" w:color="auto" w:fill="FAFAFA"/>
        </w:rPr>
        <w:t xml:space="preserve">All NCEA subjects and </w:t>
      </w:r>
      <w:proofErr w:type="spellStart"/>
      <w:r w:rsidRPr="001309EA">
        <w:rPr>
          <w:rFonts w:ascii="Arial" w:hAnsi="Arial" w:cs="Arial"/>
          <w:color w:val="000000"/>
          <w:spacing w:val="-3"/>
          <w:sz w:val="20"/>
          <w:szCs w:val="20"/>
          <w:shd w:val="clear" w:color="auto" w:fill="FAFAFA"/>
        </w:rPr>
        <w:t>wāhanga</w:t>
      </w:r>
      <w:proofErr w:type="spellEnd"/>
      <w:r w:rsidRPr="001309EA">
        <w:rPr>
          <w:rFonts w:ascii="Arial" w:hAnsi="Arial" w:cs="Arial"/>
          <w:color w:val="000000"/>
          <w:spacing w:val="-3"/>
          <w:sz w:val="20"/>
          <w:szCs w:val="20"/>
          <w:shd w:val="clear" w:color="auto" w:fill="FAFAFA"/>
        </w:rPr>
        <w:t xml:space="preserve"> </w:t>
      </w:r>
      <w:proofErr w:type="spellStart"/>
      <w:r w:rsidRPr="001309EA">
        <w:rPr>
          <w:rFonts w:ascii="Arial" w:hAnsi="Arial" w:cs="Arial"/>
          <w:color w:val="000000"/>
          <w:spacing w:val="-3"/>
          <w:sz w:val="20"/>
          <w:szCs w:val="20"/>
          <w:shd w:val="clear" w:color="auto" w:fill="FAFAFA"/>
        </w:rPr>
        <w:t>ako</w:t>
      </w:r>
      <w:proofErr w:type="spellEnd"/>
      <w:r w:rsidRPr="001309EA">
        <w:rPr>
          <w:rFonts w:ascii="Arial" w:hAnsi="Arial" w:cs="Arial"/>
          <w:color w:val="000000"/>
          <w:spacing w:val="-3"/>
          <w:sz w:val="20"/>
          <w:szCs w:val="20"/>
          <w:shd w:val="clear" w:color="auto" w:fill="FAFAFA"/>
        </w:rPr>
        <w:t xml:space="preserve"> are being re-built with 4 achievement standards – 2 internally assessed, 2 externally assessed – worth 20 credits total. Schools will still be free to design courses that use achievement standards from across 2 or more NCEA subjects. </w:t>
      </w:r>
    </w:p>
    <w:p w14:paraId="7BC2C299" w14:textId="53326415" w:rsidR="00BB2925" w:rsidRPr="001309EA" w:rsidRDefault="00BB2925">
      <w:pPr>
        <w:rPr>
          <w:rFonts w:ascii="Arial" w:hAnsi="Arial" w:cs="Arial"/>
          <w:color w:val="000000"/>
          <w:spacing w:val="-3"/>
          <w:sz w:val="20"/>
          <w:szCs w:val="20"/>
          <w:shd w:val="clear" w:color="auto" w:fill="FAFAFA"/>
        </w:rPr>
      </w:pPr>
      <w:r w:rsidRPr="001309EA">
        <w:rPr>
          <w:rFonts w:ascii="Arial" w:hAnsi="Arial" w:cs="Arial"/>
          <w:color w:val="000000"/>
          <w:spacing w:val="-3"/>
          <w:sz w:val="20"/>
          <w:szCs w:val="20"/>
          <w:shd w:val="clear" w:color="auto" w:fill="FAFAFA"/>
        </w:rPr>
        <w:t>To be eligible for course endorsement, students must gain 14 or more credits from a single course, with at least one externally assessed standard achieved.</w:t>
      </w:r>
    </w:p>
    <w:p w14:paraId="4F36563D" w14:textId="0506DC1F" w:rsidR="00CB4CAD" w:rsidRPr="001309EA" w:rsidRDefault="00CB4CAD">
      <w:pPr>
        <w:rPr>
          <w:rFonts w:ascii="Arial" w:hAnsi="Arial" w:cs="Arial"/>
          <w:sz w:val="20"/>
          <w:szCs w:val="20"/>
        </w:rPr>
      </w:pPr>
      <w:hyperlink r:id="rId7" w:history="1">
        <w:r w:rsidRPr="001309EA">
          <w:rPr>
            <w:rStyle w:val="Hyperlink"/>
            <w:rFonts w:ascii="Arial" w:hAnsi="Arial" w:cs="Arial"/>
            <w:sz w:val="20"/>
            <w:szCs w:val="20"/>
          </w:rPr>
          <w:t>https://ncea.education.govt.nz/understanding-how-ncea-requirements-are-changing#:~:text=All%20NCEA%20subjects,assessed%20standard%20achieved</w:t>
        </w:r>
      </w:hyperlink>
      <w:r w:rsidRPr="001309EA">
        <w:rPr>
          <w:rFonts w:ascii="Arial" w:hAnsi="Arial" w:cs="Arial"/>
          <w:sz w:val="20"/>
          <w:szCs w:val="20"/>
        </w:rPr>
        <w:t>.</w:t>
      </w:r>
    </w:p>
    <w:p w14:paraId="6A047F48" w14:textId="77777777" w:rsidR="00CB4CAD" w:rsidRPr="001309EA" w:rsidRDefault="00CB4CAD" w:rsidP="00CB4CAD">
      <w:pPr>
        <w:pStyle w:val="NormalWeb"/>
        <w:shd w:val="clear" w:color="auto" w:fill="FAFAFA"/>
        <w:rPr>
          <w:rFonts w:ascii="Arial" w:hAnsi="Arial" w:cs="Arial"/>
          <w:color w:val="000000"/>
          <w:sz w:val="20"/>
          <w:szCs w:val="20"/>
        </w:rPr>
      </w:pPr>
      <w:r w:rsidRPr="001309EA">
        <w:rPr>
          <w:rFonts w:ascii="Arial" w:hAnsi="Arial" w:cs="Arial"/>
          <w:color w:val="000000"/>
          <w:spacing w:val="-3"/>
          <w:sz w:val="20"/>
          <w:szCs w:val="20"/>
          <w:shd w:val="clear" w:color="auto" w:fill="FAFAFA"/>
        </w:rPr>
        <w:t xml:space="preserve">On the current timeline, the new Te Reo </w:t>
      </w:r>
      <w:proofErr w:type="spellStart"/>
      <w:r w:rsidRPr="001309EA">
        <w:rPr>
          <w:rFonts w:ascii="Arial" w:hAnsi="Arial" w:cs="Arial"/>
          <w:color w:val="000000"/>
          <w:spacing w:val="-3"/>
          <w:sz w:val="20"/>
          <w:szCs w:val="20"/>
          <w:shd w:val="clear" w:color="auto" w:fill="FAFAFA"/>
        </w:rPr>
        <w:t>Matatini</w:t>
      </w:r>
      <w:proofErr w:type="spellEnd"/>
      <w:r w:rsidRPr="001309EA">
        <w:rPr>
          <w:rFonts w:ascii="Arial" w:hAnsi="Arial" w:cs="Arial"/>
          <w:color w:val="000000"/>
          <w:spacing w:val="-3"/>
          <w:sz w:val="20"/>
          <w:szCs w:val="20"/>
          <w:shd w:val="clear" w:color="auto" w:fill="FAFAFA"/>
        </w:rPr>
        <w:t xml:space="preserve"> me te </w:t>
      </w:r>
      <w:proofErr w:type="spellStart"/>
      <w:r w:rsidRPr="001309EA">
        <w:rPr>
          <w:rFonts w:ascii="Arial" w:hAnsi="Arial" w:cs="Arial"/>
          <w:color w:val="000000"/>
          <w:spacing w:val="-3"/>
          <w:sz w:val="20"/>
          <w:szCs w:val="20"/>
          <w:shd w:val="clear" w:color="auto" w:fill="FAFAFA"/>
        </w:rPr>
        <w:t>Pāngarau</w:t>
      </w:r>
      <w:proofErr w:type="spellEnd"/>
      <w:r w:rsidRPr="001309EA">
        <w:rPr>
          <w:rFonts w:ascii="Arial" w:hAnsi="Arial" w:cs="Arial"/>
          <w:color w:val="000000"/>
          <w:spacing w:val="-3"/>
          <w:sz w:val="20"/>
          <w:szCs w:val="20"/>
          <w:shd w:val="clear" w:color="auto" w:fill="FAFAFA"/>
        </w:rPr>
        <w:t xml:space="preserve"> | Literacy &amp; Numeracy co-requisite is set to become a mandatory part of the qualification from 2023</w:t>
      </w:r>
      <w:r w:rsidRPr="001309EA">
        <w:rPr>
          <w:rFonts w:ascii="Arial" w:hAnsi="Arial" w:cs="Arial"/>
          <w:color w:val="000000"/>
          <w:spacing w:val="-3"/>
          <w:sz w:val="20"/>
          <w:szCs w:val="20"/>
          <w:shd w:val="clear" w:color="auto" w:fill="FAFAFA"/>
        </w:rPr>
        <w:t>….</w:t>
      </w:r>
      <w:r w:rsidRPr="001309EA">
        <w:rPr>
          <w:rFonts w:ascii="Arial" w:hAnsi="Arial" w:cs="Arial"/>
          <w:color w:val="000000"/>
          <w:sz w:val="20"/>
          <w:szCs w:val="20"/>
        </w:rPr>
        <w:t>These new standards assess learners on important foundational skills that will help them succeed in NCEA, further learning, life, and work.</w:t>
      </w:r>
    </w:p>
    <w:p w14:paraId="4993CBA4" w14:textId="77777777" w:rsidR="00CB4CAD" w:rsidRPr="001309EA" w:rsidRDefault="00CB4CAD" w:rsidP="00CB4CAD">
      <w:pPr>
        <w:pStyle w:val="NormalWeb"/>
        <w:shd w:val="clear" w:color="auto" w:fill="FAFAFA"/>
        <w:rPr>
          <w:rFonts w:ascii="Arial" w:hAnsi="Arial" w:cs="Arial"/>
          <w:b/>
          <w:bCs/>
          <w:color w:val="FF0000"/>
          <w:sz w:val="20"/>
          <w:szCs w:val="20"/>
        </w:rPr>
      </w:pPr>
      <w:r w:rsidRPr="001309EA">
        <w:rPr>
          <w:rFonts w:ascii="Arial" w:hAnsi="Arial" w:cs="Arial"/>
          <w:b/>
          <w:bCs/>
          <w:color w:val="FF0000"/>
          <w:sz w:val="20"/>
          <w:szCs w:val="20"/>
        </w:rPr>
        <w:t>To get the co-requisite, learners need to achieve the ten credits in:</w:t>
      </w:r>
    </w:p>
    <w:p w14:paraId="034F0301" w14:textId="26420EE8" w:rsidR="00CB4CAD" w:rsidRPr="001309EA" w:rsidRDefault="00CB4CAD" w:rsidP="00095D54">
      <w:pPr>
        <w:pStyle w:val="NormalWeb"/>
        <w:shd w:val="clear" w:color="auto" w:fill="FAFAFA"/>
        <w:rPr>
          <w:rFonts w:ascii="Arial" w:hAnsi="Arial" w:cs="Arial"/>
          <w:color w:val="000000"/>
          <w:sz w:val="20"/>
          <w:szCs w:val="20"/>
        </w:rPr>
      </w:pPr>
      <w:r w:rsidRPr="001309EA">
        <w:rPr>
          <w:rStyle w:val="Strong"/>
          <w:rFonts w:ascii="Arial" w:hAnsi="Arial" w:cs="Arial"/>
          <w:color w:val="FF0000"/>
          <w:sz w:val="20"/>
          <w:szCs w:val="20"/>
        </w:rPr>
        <w:t>a)</w:t>
      </w:r>
      <w:r w:rsidRPr="001309EA">
        <w:rPr>
          <w:rFonts w:ascii="Arial" w:hAnsi="Arial" w:cs="Arial"/>
          <w:b/>
          <w:bCs/>
          <w:color w:val="FF0000"/>
          <w:sz w:val="20"/>
          <w:szCs w:val="20"/>
        </w:rPr>
        <w:t>    either the </w:t>
      </w:r>
      <w:hyperlink r:id="rId8" w:history="1">
        <w:r w:rsidRPr="001309EA">
          <w:rPr>
            <w:rStyle w:val="Hyperlink"/>
            <w:rFonts w:ascii="Arial" w:hAnsi="Arial" w:cs="Arial"/>
            <w:b/>
            <w:bCs/>
            <w:color w:val="0070C0"/>
            <w:sz w:val="20"/>
            <w:szCs w:val="20"/>
          </w:rPr>
          <w:t xml:space="preserve">Te Reo </w:t>
        </w:r>
        <w:proofErr w:type="spellStart"/>
        <w:r w:rsidRPr="001309EA">
          <w:rPr>
            <w:rStyle w:val="Hyperlink"/>
            <w:rFonts w:ascii="Arial" w:hAnsi="Arial" w:cs="Arial"/>
            <w:b/>
            <w:bCs/>
            <w:color w:val="0070C0"/>
            <w:sz w:val="20"/>
            <w:szCs w:val="20"/>
          </w:rPr>
          <w:t>Matatini</w:t>
        </w:r>
        <w:proofErr w:type="spellEnd"/>
      </w:hyperlink>
      <w:r w:rsidRPr="001309EA">
        <w:rPr>
          <w:rFonts w:ascii="Arial" w:hAnsi="Arial" w:cs="Arial"/>
          <w:b/>
          <w:bCs/>
          <w:color w:val="FF0000"/>
          <w:sz w:val="20"/>
          <w:szCs w:val="20"/>
        </w:rPr>
        <w:t> OR </w:t>
      </w:r>
      <w:hyperlink r:id="rId9" w:history="1">
        <w:r w:rsidRPr="001309EA">
          <w:rPr>
            <w:rStyle w:val="Hyperlink"/>
            <w:rFonts w:ascii="Arial" w:hAnsi="Arial" w:cs="Arial"/>
            <w:b/>
            <w:bCs/>
            <w:color w:val="0070C0"/>
            <w:sz w:val="20"/>
            <w:szCs w:val="20"/>
          </w:rPr>
          <w:t>Literacy</w:t>
        </w:r>
      </w:hyperlink>
      <w:r w:rsidR="000629A0" w:rsidRPr="001309EA">
        <w:rPr>
          <w:rFonts w:ascii="Arial" w:hAnsi="Arial" w:cs="Arial"/>
          <w:b/>
          <w:bCs/>
          <w:color w:val="0070C0"/>
          <w:sz w:val="20"/>
          <w:szCs w:val="20"/>
        </w:rPr>
        <w:t xml:space="preserve"> </w:t>
      </w:r>
      <w:r w:rsidRPr="001309EA">
        <w:rPr>
          <w:rFonts w:ascii="Arial" w:hAnsi="Arial" w:cs="Arial"/>
          <w:b/>
          <w:bCs/>
          <w:color w:val="FF0000"/>
          <w:sz w:val="20"/>
          <w:szCs w:val="20"/>
        </w:rPr>
        <w:t>standards</w:t>
      </w:r>
      <w:r w:rsidR="000629A0" w:rsidRPr="001309EA">
        <w:rPr>
          <w:rFonts w:ascii="Arial" w:hAnsi="Arial" w:cs="Arial"/>
          <w:b/>
          <w:bCs/>
          <w:color w:val="FF0000"/>
          <w:sz w:val="20"/>
          <w:szCs w:val="20"/>
        </w:rPr>
        <w:t xml:space="preserve"> </w:t>
      </w:r>
      <w:r w:rsidR="000629A0" w:rsidRPr="001309EA">
        <w:rPr>
          <w:rFonts w:ascii="Arial" w:hAnsi="Arial" w:cs="Arial"/>
          <w:b/>
          <w:bCs/>
          <w:sz w:val="20"/>
          <w:szCs w:val="20"/>
        </w:rPr>
        <w:t xml:space="preserve">(see further information from this link </w:t>
      </w:r>
      <w:r w:rsidR="000629A0" w:rsidRPr="001309EA">
        <w:rPr>
          <w:rFonts w:ascii="Arial" w:hAnsi="Arial" w:cs="Arial"/>
          <w:b/>
          <w:bCs/>
          <w:sz w:val="20"/>
          <w:szCs w:val="20"/>
        </w:rPr>
        <w:t>on the following page</w:t>
      </w:r>
      <w:r w:rsidR="000629A0" w:rsidRPr="001309EA">
        <w:rPr>
          <w:rFonts w:ascii="Arial" w:hAnsi="Arial" w:cs="Arial"/>
          <w:b/>
          <w:bCs/>
          <w:sz w:val="20"/>
          <w:szCs w:val="20"/>
        </w:rPr>
        <w:t>) </w:t>
      </w:r>
      <w:r w:rsidRPr="001309EA">
        <w:rPr>
          <w:rFonts w:ascii="Arial" w:hAnsi="Arial" w:cs="Arial"/>
          <w:color w:val="000000"/>
          <w:sz w:val="20"/>
          <w:szCs w:val="20"/>
        </w:rPr>
        <w:br/>
        <w:t>       AND</w:t>
      </w:r>
      <w:r w:rsidRPr="001309EA">
        <w:rPr>
          <w:rFonts w:ascii="Arial" w:hAnsi="Arial" w:cs="Arial"/>
          <w:color w:val="000000"/>
          <w:sz w:val="20"/>
          <w:szCs w:val="20"/>
        </w:rPr>
        <w:br/>
      </w:r>
      <w:r w:rsidRPr="001309EA">
        <w:rPr>
          <w:rStyle w:val="Strong"/>
          <w:rFonts w:ascii="Arial" w:hAnsi="Arial" w:cs="Arial"/>
          <w:color w:val="000000"/>
          <w:sz w:val="20"/>
          <w:szCs w:val="20"/>
        </w:rPr>
        <w:t>b) </w:t>
      </w:r>
      <w:r w:rsidRPr="001309EA">
        <w:rPr>
          <w:rFonts w:ascii="Arial" w:hAnsi="Arial" w:cs="Arial"/>
          <w:color w:val="000000"/>
          <w:sz w:val="20"/>
          <w:szCs w:val="20"/>
        </w:rPr>
        <w:t>   either the </w:t>
      </w:r>
      <w:hyperlink r:id="rId10" w:history="1">
        <w:proofErr w:type="spellStart"/>
        <w:r w:rsidRPr="001309EA">
          <w:rPr>
            <w:rStyle w:val="Hyperlink"/>
            <w:rFonts w:ascii="Arial" w:hAnsi="Arial" w:cs="Arial"/>
            <w:color w:val="1470E1"/>
            <w:sz w:val="20"/>
            <w:szCs w:val="20"/>
          </w:rPr>
          <w:t>Pāngarau</w:t>
        </w:r>
        <w:proofErr w:type="spellEnd"/>
      </w:hyperlink>
      <w:r w:rsidRPr="001309EA">
        <w:rPr>
          <w:rFonts w:ascii="Arial" w:hAnsi="Arial" w:cs="Arial"/>
          <w:color w:val="000000"/>
          <w:sz w:val="20"/>
          <w:szCs w:val="20"/>
        </w:rPr>
        <w:t> OR </w:t>
      </w:r>
      <w:hyperlink r:id="rId11" w:history="1">
        <w:r w:rsidRPr="001309EA">
          <w:rPr>
            <w:rStyle w:val="Hyperlink"/>
            <w:rFonts w:ascii="Arial" w:hAnsi="Arial" w:cs="Arial"/>
            <w:color w:val="1470E1"/>
            <w:sz w:val="20"/>
            <w:szCs w:val="20"/>
          </w:rPr>
          <w:t>Numeracy</w:t>
        </w:r>
      </w:hyperlink>
      <w:r w:rsidRPr="001309EA">
        <w:rPr>
          <w:rFonts w:ascii="Arial" w:hAnsi="Arial" w:cs="Arial"/>
          <w:color w:val="000000"/>
          <w:sz w:val="20"/>
          <w:szCs w:val="20"/>
        </w:rPr>
        <w:t> standard</w:t>
      </w:r>
    </w:p>
    <w:p w14:paraId="24B303B3" w14:textId="0DC5284C" w:rsidR="000629A0" w:rsidRPr="001309EA" w:rsidRDefault="002D0491" w:rsidP="00095D54">
      <w:pPr>
        <w:pStyle w:val="NormalWeb"/>
        <w:shd w:val="clear" w:color="auto" w:fill="FAFAFA"/>
        <w:rPr>
          <w:rFonts w:ascii="Arial" w:hAnsi="Arial" w:cs="Arial"/>
          <w:color w:val="000000"/>
          <w:sz w:val="20"/>
          <w:szCs w:val="20"/>
        </w:rPr>
      </w:pPr>
      <w:hyperlink r:id="rId12" w:history="1">
        <w:r w:rsidRPr="001309EA">
          <w:rPr>
            <w:rStyle w:val="Hyperlink"/>
            <w:rFonts w:ascii="Arial" w:hAnsi="Arial" w:cs="Arial"/>
            <w:sz w:val="20"/>
            <w:szCs w:val="20"/>
          </w:rPr>
          <w:t>https://ncea.education.govt.nz/understanding-how-ncea-requirements-are-changing#:~:text=On%20the%20current%20timeline%2C%20the,standard</w:t>
        </w:r>
      </w:hyperlink>
      <w:r w:rsidRPr="001309EA">
        <w:rPr>
          <w:rFonts w:ascii="Arial" w:hAnsi="Arial" w:cs="Arial"/>
          <w:color w:val="000000"/>
          <w:sz w:val="20"/>
          <w:szCs w:val="20"/>
        </w:rPr>
        <w:t xml:space="preserve"> </w:t>
      </w:r>
    </w:p>
    <w:p w14:paraId="5FA79E09" w14:textId="3C66B97A" w:rsidR="000629A0" w:rsidRPr="001309EA" w:rsidRDefault="000629A0" w:rsidP="00095D54">
      <w:pPr>
        <w:pStyle w:val="NormalWeb"/>
        <w:shd w:val="clear" w:color="auto" w:fill="FAFAFA"/>
        <w:rPr>
          <w:rFonts w:ascii="Arial" w:hAnsi="Arial" w:cs="Arial"/>
          <w:color w:val="000000"/>
          <w:sz w:val="20"/>
          <w:szCs w:val="20"/>
        </w:rPr>
      </w:pPr>
    </w:p>
    <w:p w14:paraId="47B817FA" w14:textId="77777777" w:rsidR="000629A0" w:rsidRPr="001309EA" w:rsidRDefault="000629A0" w:rsidP="00095D54">
      <w:pPr>
        <w:pStyle w:val="NormalWeb"/>
        <w:shd w:val="clear" w:color="auto" w:fill="FAFAFA"/>
        <w:rPr>
          <w:rFonts w:ascii="Arial" w:hAnsi="Arial" w:cs="Arial"/>
          <w:b/>
          <w:bCs/>
          <w:color w:val="000000"/>
          <w:sz w:val="20"/>
          <w:szCs w:val="20"/>
        </w:rPr>
      </w:pPr>
    </w:p>
    <w:p w14:paraId="16B7F10F" w14:textId="77777777" w:rsidR="005E7246" w:rsidRDefault="005E7246">
      <w:pPr>
        <w:rPr>
          <w:rFonts w:ascii="Arial" w:eastAsia="Times New Roman" w:hAnsi="Arial" w:cs="Arial"/>
          <w:b/>
          <w:bCs/>
          <w:color w:val="000000"/>
          <w:sz w:val="32"/>
          <w:szCs w:val="32"/>
          <w:lang w:eastAsia="en-NZ"/>
        </w:rPr>
      </w:pPr>
      <w:r>
        <w:rPr>
          <w:rFonts w:ascii="Arial" w:hAnsi="Arial" w:cs="Arial"/>
          <w:b/>
          <w:bCs/>
          <w:color w:val="000000"/>
          <w:sz w:val="32"/>
          <w:szCs w:val="32"/>
        </w:rPr>
        <w:br w:type="page"/>
      </w:r>
    </w:p>
    <w:p w14:paraId="4BE660F9" w14:textId="456A3675" w:rsidR="000629A0" w:rsidRPr="005E7246" w:rsidRDefault="000629A0" w:rsidP="00095D54">
      <w:pPr>
        <w:pStyle w:val="NormalWeb"/>
        <w:shd w:val="clear" w:color="auto" w:fill="FAFAFA"/>
        <w:rPr>
          <w:rFonts w:ascii="Arial" w:hAnsi="Arial" w:cs="Arial"/>
          <w:b/>
          <w:bCs/>
          <w:color w:val="000000"/>
          <w:sz w:val="32"/>
          <w:szCs w:val="32"/>
        </w:rPr>
      </w:pPr>
      <w:r w:rsidRPr="005E7246">
        <w:rPr>
          <w:rFonts w:ascii="Arial" w:hAnsi="Arial" w:cs="Arial"/>
          <w:b/>
          <w:bCs/>
          <w:color w:val="000000"/>
          <w:sz w:val="32"/>
          <w:szCs w:val="32"/>
        </w:rPr>
        <w:lastRenderedPageBreak/>
        <w:t>From the Literacy link:</w:t>
      </w:r>
    </w:p>
    <w:p w14:paraId="3ABDD2B9" w14:textId="77777777" w:rsidR="000629A0" w:rsidRPr="001F6AB7" w:rsidRDefault="000629A0" w:rsidP="000629A0">
      <w:pPr>
        <w:shd w:val="clear" w:color="auto" w:fill="FAFAFA"/>
        <w:spacing w:before="100" w:beforeAutospacing="1" w:after="100" w:afterAutospacing="1" w:line="240" w:lineRule="auto"/>
        <w:rPr>
          <w:rFonts w:ascii="Arial" w:eastAsia="Times New Roman" w:hAnsi="Arial" w:cs="Arial"/>
          <w:color w:val="000000"/>
          <w:sz w:val="20"/>
          <w:szCs w:val="20"/>
          <w:lang w:eastAsia="en-NZ"/>
        </w:rPr>
      </w:pPr>
      <w:r w:rsidRPr="001F6AB7">
        <w:rPr>
          <w:rFonts w:ascii="Arial" w:eastAsia="Times New Roman" w:hAnsi="Arial" w:cs="Arial"/>
          <w:color w:val="000000"/>
          <w:sz w:val="20"/>
          <w:szCs w:val="20"/>
          <w:lang w:eastAsia="en-NZ"/>
        </w:rPr>
        <w:t>Right now, the two ways learners can meet the requirements for literacy and numeracy in NCEA are to complete standards on a list of specified assessment standards, or a package of three literacy and three numeracy unit standards. See the </w:t>
      </w:r>
      <w:hyperlink r:id="rId13" w:history="1">
        <w:r w:rsidRPr="001F6AB7">
          <w:rPr>
            <w:rFonts w:ascii="Arial" w:eastAsia="Times New Roman" w:hAnsi="Arial" w:cs="Arial"/>
            <w:color w:val="1470E1"/>
            <w:sz w:val="20"/>
            <w:szCs w:val="20"/>
            <w:u w:val="single"/>
            <w:lang w:eastAsia="en-NZ"/>
          </w:rPr>
          <w:t>NZQA website</w:t>
        </w:r>
      </w:hyperlink>
      <w:r w:rsidRPr="001F6AB7">
        <w:rPr>
          <w:rFonts w:ascii="Arial" w:eastAsia="Times New Roman" w:hAnsi="Arial" w:cs="Arial"/>
          <w:color w:val="000000"/>
          <w:sz w:val="20"/>
          <w:szCs w:val="20"/>
          <w:lang w:eastAsia="en-NZ"/>
        </w:rPr>
        <w:t> for more information.</w:t>
      </w:r>
    </w:p>
    <w:p w14:paraId="1F49D7E1" w14:textId="77777777" w:rsidR="000629A0" w:rsidRPr="001F6AB7" w:rsidRDefault="000629A0" w:rsidP="000629A0">
      <w:pPr>
        <w:shd w:val="clear" w:color="auto" w:fill="FAFAFA"/>
        <w:spacing w:before="100" w:beforeAutospacing="1" w:after="100" w:afterAutospacing="1" w:line="240" w:lineRule="auto"/>
        <w:rPr>
          <w:rFonts w:ascii="Arial" w:eastAsia="Times New Roman" w:hAnsi="Arial" w:cs="Arial"/>
          <w:color w:val="000000"/>
          <w:sz w:val="20"/>
          <w:szCs w:val="20"/>
          <w:lang w:eastAsia="en-NZ"/>
        </w:rPr>
      </w:pPr>
      <w:r w:rsidRPr="001F6AB7">
        <w:rPr>
          <w:rFonts w:ascii="Arial" w:eastAsia="Times New Roman" w:hAnsi="Arial" w:cs="Arial"/>
          <w:color w:val="000000"/>
          <w:sz w:val="20"/>
          <w:szCs w:val="20"/>
          <w:lang w:eastAsia="en-NZ"/>
        </w:rPr>
        <w:t>If learners achieve the full literacy or numeracy requirement before the qualification changes, this achievement will be recognised towards the new co-requisite while we transition to the new NCEA requirements.</w:t>
      </w:r>
    </w:p>
    <w:p w14:paraId="6EEB8FF4" w14:textId="77777777" w:rsidR="000629A0" w:rsidRPr="001309EA" w:rsidRDefault="000629A0" w:rsidP="000629A0">
      <w:pPr>
        <w:shd w:val="clear" w:color="auto" w:fill="FAFAFA"/>
        <w:spacing w:before="100" w:beforeAutospacing="1" w:after="100" w:afterAutospacing="1" w:line="240" w:lineRule="auto"/>
        <w:rPr>
          <w:rFonts w:ascii="Arial" w:eastAsia="Times New Roman" w:hAnsi="Arial" w:cs="Arial"/>
          <w:color w:val="000000"/>
          <w:sz w:val="20"/>
          <w:szCs w:val="20"/>
          <w:lang w:eastAsia="en-NZ"/>
        </w:rPr>
      </w:pPr>
      <w:r w:rsidRPr="001F6AB7">
        <w:rPr>
          <w:rFonts w:ascii="Arial" w:eastAsia="Times New Roman" w:hAnsi="Arial" w:cs="Arial"/>
          <w:color w:val="000000"/>
          <w:sz w:val="20"/>
          <w:szCs w:val="20"/>
          <w:lang w:eastAsia="en-NZ"/>
        </w:rPr>
        <w:t>On the current timeline, 'tagged' Level 1 assessment standards, including the current package of three literacy and three numeracy unit standards will no longer be recognised to meet the NCEA literacy and numeracy co-requisite for kura and school based programmes from 2023.</w:t>
      </w:r>
    </w:p>
    <w:p w14:paraId="5DFE6CD7" w14:textId="77777777" w:rsidR="000629A0" w:rsidRPr="001F6AB7" w:rsidRDefault="000629A0" w:rsidP="000629A0">
      <w:pPr>
        <w:shd w:val="clear" w:color="auto" w:fill="FAFAFA"/>
        <w:spacing w:before="100" w:beforeAutospacing="1" w:after="100" w:afterAutospacing="1" w:line="240" w:lineRule="auto"/>
        <w:rPr>
          <w:rFonts w:ascii="Arial" w:eastAsia="Times New Roman" w:hAnsi="Arial" w:cs="Arial"/>
          <w:color w:val="000000"/>
          <w:sz w:val="20"/>
          <w:szCs w:val="20"/>
          <w:lang w:eastAsia="en-NZ"/>
        </w:rPr>
      </w:pPr>
      <w:r w:rsidRPr="001309EA">
        <w:rPr>
          <w:rFonts w:ascii="Arial" w:hAnsi="Arial" w:cs="Arial"/>
          <w:color w:val="000000"/>
          <w:spacing w:val="-3"/>
          <w:sz w:val="20"/>
          <w:szCs w:val="20"/>
          <w:shd w:val="clear" w:color="auto" w:fill="FAFAFA"/>
        </w:rPr>
        <w:t>We are also tagging new achievement standards so that they can be used towards the literacy and numeracy requirements during the transition period.</w:t>
      </w:r>
    </w:p>
    <w:p w14:paraId="04A24ED9" w14:textId="77777777" w:rsidR="000629A0" w:rsidRPr="001309EA" w:rsidRDefault="000629A0" w:rsidP="000629A0">
      <w:pPr>
        <w:rPr>
          <w:rFonts w:ascii="Arial" w:hAnsi="Arial" w:cs="Arial"/>
          <w:sz w:val="20"/>
          <w:szCs w:val="20"/>
        </w:rPr>
      </w:pPr>
      <w:hyperlink r:id="rId14" w:history="1">
        <w:r w:rsidRPr="001309EA">
          <w:rPr>
            <w:rStyle w:val="Hyperlink"/>
            <w:rFonts w:ascii="Arial" w:hAnsi="Arial" w:cs="Arial"/>
            <w:sz w:val="20"/>
            <w:szCs w:val="20"/>
          </w:rPr>
          <w:t>https://ncea.education.govt.nz/understanding-how-ncea-requirements-are-changing#:~:text=Right%20now%2C%20the,the%20transition%20period</w:t>
        </w:r>
      </w:hyperlink>
      <w:r w:rsidRPr="001309EA">
        <w:rPr>
          <w:rFonts w:ascii="Arial" w:hAnsi="Arial" w:cs="Arial"/>
          <w:sz w:val="20"/>
          <w:szCs w:val="20"/>
        </w:rPr>
        <w:t>.</w:t>
      </w:r>
    </w:p>
    <w:p w14:paraId="61B78D08" w14:textId="77777777" w:rsidR="000629A0" w:rsidRPr="001309EA" w:rsidRDefault="000629A0" w:rsidP="000629A0">
      <w:pPr>
        <w:rPr>
          <w:rFonts w:ascii="Arial" w:hAnsi="Arial" w:cs="Arial"/>
          <w:sz w:val="20"/>
          <w:szCs w:val="20"/>
        </w:rPr>
      </w:pPr>
    </w:p>
    <w:p w14:paraId="59AA6091" w14:textId="77777777" w:rsidR="000629A0" w:rsidRPr="001309EA" w:rsidRDefault="000629A0" w:rsidP="000629A0">
      <w:pPr>
        <w:rPr>
          <w:rFonts w:ascii="Arial" w:hAnsi="Arial" w:cs="Arial"/>
          <w:sz w:val="20"/>
          <w:szCs w:val="20"/>
        </w:rPr>
      </w:pPr>
    </w:p>
    <w:p w14:paraId="784793C2" w14:textId="77777777" w:rsidR="000629A0" w:rsidRPr="00D95C62" w:rsidRDefault="000629A0" w:rsidP="000629A0">
      <w:pPr>
        <w:shd w:val="clear" w:color="auto" w:fill="FAFAFA"/>
        <w:spacing w:before="100" w:beforeAutospacing="1" w:after="100" w:afterAutospacing="1" w:line="240" w:lineRule="auto"/>
        <w:rPr>
          <w:rFonts w:ascii="Arial" w:eastAsia="Times New Roman" w:hAnsi="Arial" w:cs="Arial"/>
          <w:color w:val="000000"/>
          <w:sz w:val="20"/>
          <w:szCs w:val="20"/>
          <w:lang w:eastAsia="en-NZ"/>
        </w:rPr>
      </w:pPr>
      <w:r w:rsidRPr="00D95C62">
        <w:rPr>
          <w:rFonts w:ascii="Arial" w:eastAsia="Times New Roman" w:hAnsi="Arial" w:cs="Arial"/>
          <w:color w:val="000000"/>
          <w:sz w:val="20"/>
          <w:szCs w:val="20"/>
          <w:lang w:eastAsia="en-NZ"/>
        </w:rPr>
        <w:t>There are also some exclusions which will apply to the new literacy and numeracy standards. This will mean that if learners achieve the new corequisite standards and the current literacy and numeracy unit standards, the excluded standards will not be counted towards meeting the NCEA 60 credit requirement. See Table 2 for a list of standards excluded from the new literacy and numeracy standards.</w:t>
      </w:r>
    </w:p>
    <w:tbl>
      <w:tblPr>
        <w:tblW w:w="10101" w:type="dxa"/>
        <w:tblCellSpacing w:w="5" w:type="dxa"/>
        <w:shd w:val="clear" w:color="auto" w:fill="FAFAFA"/>
        <w:tblCellMar>
          <w:top w:w="10" w:type="dxa"/>
          <w:left w:w="10" w:type="dxa"/>
          <w:bottom w:w="10" w:type="dxa"/>
          <w:right w:w="10" w:type="dxa"/>
        </w:tblCellMar>
        <w:tblLook w:val="04A0" w:firstRow="1" w:lastRow="0" w:firstColumn="1" w:lastColumn="0" w:noHBand="0" w:noVBand="1"/>
      </w:tblPr>
      <w:tblGrid>
        <w:gridCol w:w="1094"/>
        <w:gridCol w:w="4053"/>
        <w:gridCol w:w="464"/>
        <w:gridCol w:w="4490"/>
      </w:tblGrid>
      <w:tr w:rsidR="000629A0" w:rsidRPr="00D95C62" w14:paraId="2A22F8FF" w14:textId="77777777" w:rsidTr="000601CB">
        <w:trPr>
          <w:trHeight w:val="279"/>
          <w:tblHeader/>
          <w:tblCellSpacing w:w="5" w:type="dxa"/>
        </w:trPr>
        <w:tc>
          <w:tcPr>
            <w:tcW w:w="0" w:type="auto"/>
            <w:gridSpan w:val="4"/>
            <w:tcBorders>
              <w:top w:val="nil"/>
              <w:left w:val="nil"/>
              <w:bottom w:val="nil"/>
              <w:right w:val="nil"/>
            </w:tcBorders>
            <w:shd w:val="clear" w:color="auto" w:fill="F1F1F2"/>
            <w:vAlign w:val="center"/>
            <w:hideMark/>
          </w:tcPr>
          <w:p w14:paraId="6CFC67B2" w14:textId="77777777" w:rsidR="000629A0" w:rsidRPr="00D95C62" w:rsidRDefault="000629A0" w:rsidP="000601CB">
            <w:pPr>
              <w:spacing w:line="240" w:lineRule="auto"/>
              <w:jc w:val="center"/>
              <w:rPr>
                <w:rFonts w:ascii="Arial" w:eastAsia="Times New Roman" w:hAnsi="Arial" w:cs="Arial"/>
                <w:color w:val="000000"/>
                <w:sz w:val="20"/>
                <w:szCs w:val="20"/>
                <w:lang w:eastAsia="en-NZ"/>
              </w:rPr>
            </w:pPr>
            <w:r w:rsidRPr="00D95C62">
              <w:rPr>
                <w:rFonts w:ascii="Arial" w:eastAsia="Times New Roman" w:hAnsi="Arial" w:cs="Arial"/>
                <w:color w:val="000000"/>
                <w:sz w:val="20"/>
                <w:szCs w:val="20"/>
                <w:lang w:eastAsia="en-NZ"/>
              </w:rPr>
              <w:t> </w:t>
            </w:r>
          </w:p>
        </w:tc>
      </w:tr>
      <w:tr w:rsidR="000629A0" w:rsidRPr="00D95C62" w14:paraId="3E541F51" w14:textId="77777777" w:rsidTr="000601CB">
        <w:trPr>
          <w:trHeight w:val="545"/>
          <w:tblHeader/>
          <w:tblCellSpacing w:w="5" w:type="dxa"/>
        </w:trPr>
        <w:tc>
          <w:tcPr>
            <w:tcW w:w="1078" w:type="dxa"/>
            <w:tcBorders>
              <w:top w:val="nil"/>
              <w:left w:val="nil"/>
              <w:bottom w:val="nil"/>
              <w:right w:val="nil"/>
            </w:tcBorders>
            <w:shd w:val="clear" w:color="auto" w:fill="F1F1F2"/>
            <w:vAlign w:val="center"/>
            <w:hideMark/>
          </w:tcPr>
          <w:p w14:paraId="1AB726AE" w14:textId="77777777" w:rsidR="000629A0" w:rsidRPr="00D95C62" w:rsidRDefault="000629A0" w:rsidP="000601CB">
            <w:pPr>
              <w:spacing w:line="240" w:lineRule="auto"/>
              <w:rPr>
                <w:rFonts w:ascii="Arial" w:eastAsia="Times New Roman" w:hAnsi="Arial" w:cs="Arial"/>
                <w:b/>
                <w:bCs/>
                <w:color w:val="050505"/>
                <w:sz w:val="20"/>
                <w:szCs w:val="20"/>
                <w:lang w:eastAsia="en-NZ"/>
              </w:rPr>
            </w:pPr>
            <w:r w:rsidRPr="00D95C62">
              <w:rPr>
                <w:rFonts w:ascii="Arial" w:eastAsia="Times New Roman" w:hAnsi="Arial" w:cs="Arial"/>
                <w:b/>
                <w:bCs/>
                <w:color w:val="050505"/>
                <w:sz w:val="20"/>
                <w:szCs w:val="20"/>
                <w:lang w:eastAsia="en-NZ"/>
              </w:rPr>
              <w:t> </w:t>
            </w:r>
          </w:p>
        </w:tc>
        <w:tc>
          <w:tcPr>
            <w:tcW w:w="4043" w:type="dxa"/>
            <w:tcBorders>
              <w:top w:val="nil"/>
              <w:left w:val="nil"/>
              <w:bottom w:val="nil"/>
              <w:right w:val="nil"/>
            </w:tcBorders>
            <w:shd w:val="clear" w:color="auto" w:fill="F1F1F2"/>
            <w:vAlign w:val="center"/>
            <w:hideMark/>
          </w:tcPr>
          <w:p w14:paraId="7F53A518" w14:textId="77777777" w:rsidR="000629A0" w:rsidRPr="00D95C62" w:rsidRDefault="000629A0" w:rsidP="000601CB">
            <w:pPr>
              <w:spacing w:line="240" w:lineRule="auto"/>
              <w:jc w:val="center"/>
              <w:rPr>
                <w:rFonts w:ascii="Arial" w:eastAsia="Times New Roman" w:hAnsi="Arial" w:cs="Arial"/>
                <w:b/>
                <w:bCs/>
                <w:color w:val="050505"/>
                <w:sz w:val="20"/>
                <w:szCs w:val="20"/>
                <w:lang w:eastAsia="en-NZ"/>
              </w:rPr>
            </w:pPr>
            <w:r w:rsidRPr="00D95C62">
              <w:rPr>
                <w:rFonts w:ascii="Arial" w:eastAsia="Times New Roman" w:hAnsi="Arial" w:cs="Arial"/>
                <w:b/>
                <w:bCs/>
                <w:color w:val="050505"/>
                <w:sz w:val="20"/>
                <w:szCs w:val="20"/>
                <w:lang w:eastAsia="en-NZ"/>
              </w:rPr>
              <w:t>NEW LITERACY AND NUMERACY STANDARDS</w:t>
            </w:r>
          </w:p>
        </w:tc>
        <w:tc>
          <w:tcPr>
            <w:tcW w:w="454" w:type="dxa"/>
            <w:tcBorders>
              <w:top w:val="nil"/>
              <w:left w:val="nil"/>
              <w:bottom w:val="nil"/>
              <w:right w:val="nil"/>
            </w:tcBorders>
            <w:shd w:val="clear" w:color="auto" w:fill="F1F1F2"/>
            <w:vAlign w:val="center"/>
            <w:hideMark/>
          </w:tcPr>
          <w:p w14:paraId="46F17949" w14:textId="77777777" w:rsidR="000629A0" w:rsidRPr="00D95C62" w:rsidRDefault="000629A0" w:rsidP="000601CB">
            <w:pPr>
              <w:spacing w:line="240" w:lineRule="auto"/>
              <w:jc w:val="center"/>
              <w:rPr>
                <w:rFonts w:ascii="Arial" w:eastAsia="Times New Roman" w:hAnsi="Arial" w:cs="Arial"/>
                <w:b/>
                <w:bCs/>
                <w:color w:val="050505"/>
                <w:sz w:val="20"/>
                <w:szCs w:val="20"/>
                <w:lang w:eastAsia="en-NZ"/>
              </w:rPr>
            </w:pPr>
            <w:r w:rsidRPr="00D95C62">
              <w:rPr>
                <w:rFonts w:ascii="Arial" w:eastAsia="Times New Roman" w:hAnsi="Arial" w:cs="Arial"/>
                <w:b/>
                <w:bCs/>
                <w:color w:val="050505"/>
                <w:sz w:val="20"/>
                <w:szCs w:val="20"/>
                <w:lang w:eastAsia="en-NZ"/>
              </w:rPr>
              <w:t> </w:t>
            </w:r>
          </w:p>
        </w:tc>
        <w:tc>
          <w:tcPr>
            <w:tcW w:w="4475" w:type="dxa"/>
            <w:tcBorders>
              <w:top w:val="nil"/>
              <w:left w:val="nil"/>
              <w:bottom w:val="nil"/>
              <w:right w:val="nil"/>
            </w:tcBorders>
            <w:shd w:val="clear" w:color="auto" w:fill="F1F1F2"/>
            <w:vAlign w:val="center"/>
            <w:hideMark/>
          </w:tcPr>
          <w:p w14:paraId="38C6D131" w14:textId="77777777" w:rsidR="000629A0" w:rsidRPr="00D95C62" w:rsidRDefault="000629A0" w:rsidP="000601CB">
            <w:pPr>
              <w:spacing w:line="240" w:lineRule="auto"/>
              <w:jc w:val="center"/>
              <w:rPr>
                <w:rFonts w:ascii="Arial" w:eastAsia="Times New Roman" w:hAnsi="Arial" w:cs="Arial"/>
                <w:b/>
                <w:bCs/>
                <w:color w:val="050505"/>
                <w:sz w:val="20"/>
                <w:szCs w:val="20"/>
                <w:lang w:eastAsia="en-NZ"/>
              </w:rPr>
            </w:pPr>
            <w:r w:rsidRPr="00D95C62">
              <w:rPr>
                <w:rFonts w:ascii="Arial" w:eastAsia="Times New Roman" w:hAnsi="Arial" w:cs="Arial"/>
                <w:b/>
                <w:bCs/>
                <w:color w:val="050505"/>
                <w:sz w:val="20"/>
                <w:szCs w:val="20"/>
                <w:lang w:eastAsia="en-NZ"/>
              </w:rPr>
              <w:t>CURRENT UNIT STANDARDS</w:t>
            </w:r>
          </w:p>
        </w:tc>
      </w:tr>
      <w:tr w:rsidR="000629A0" w:rsidRPr="00D95C62" w14:paraId="5ACD1CFD" w14:textId="77777777" w:rsidTr="000601CB">
        <w:trPr>
          <w:trHeight w:val="266"/>
          <w:tblCellSpacing w:w="5" w:type="dxa"/>
        </w:trPr>
        <w:tc>
          <w:tcPr>
            <w:tcW w:w="1078" w:type="dxa"/>
            <w:tcBorders>
              <w:top w:val="nil"/>
              <w:left w:val="nil"/>
              <w:bottom w:val="nil"/>
              <w:right w:val="nil"/>
            </w:tcBorders>
            <w:shd w:val="clear" w:color="auto" w:fill="FFFFFF"/>
            <w:vAlign w:val="center"/>
            <w:hideMark/>
          </w:tcPr>
          <w:p w14:paraId="3C422A16"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EITHER</w:t>
            </w:r>
          </w:p>
        </w:tc>
        <w:tc>
          <w:tcPr>
            <w:tcW w:w="4043" w:type="dxa"/>
            <w:tcBorders>
              <w:top w:val="nil"/>
              <w:left w:val="nil"/>
              <w:bottom w:val="nil"/>
              <w:right w:val="nil"/>
            </w:tcBorders>
            <w:shd w:val="clear" w:color="auto" w:fill="FFFFFF"/>
            <w:vAlign w:val="center"/>
            <w:hideMark/>
          </w:tcPr>
          <w:p w14:paraId="515568A8"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Literacy (reading) US32403, 5 credits</w:t>
            </w:r>
          </w:p>
        </w:tc>
        <w:tc>
          <w:tcPr>
            <w:tcW w:w="454" w:type="dxa"/>
            <w:tcBorders>
              <w:top w:val="nil"/>
              <w:left w:val="nil"/>
              <w:bottom w:val="nil"/>
              <w:right w:val="nil"/>
            </w:tcBorders>
            <w:shd w:val="clear" w:color="auto" w:fill="FFFFFF"/>
            <w:vAlign w:val="center"/>
            <w:hideMark/>
          </w:tcPr>
          <w:p w14:paraId="549CC6A1"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OR</w:t>
            </w:r>
          </w:p>
        </w:tc>
        <w:tc>
          <w:tcPr>
            <w:tcW w:w="4475" w:type="dxa"/>
            <w:tcBorders>
              <w:top w:val="nil"/>
              <w:left w:val="nil"/>
              <w:bottom w:val="nil"/>
              <w:right w:val="nil"/>
            </w:tcBorders>
            <w:shd w:val="clear" w:color="auto" w:fill="FFFFFF"/>
            <w:vAlign w:val="center"/>
            <w:hideMark/>
          </w:tcPr>
          <w:p w14:paraId="1D7CE0E9"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Reading US26624, 3 credits</w:t>
            </w:r>
          </w:p>
        </w:tc>
      </w:tr>
      <w:tr w:rsidR="000629A0" w:rsidRPr="00D95C62" w14:paraId="1467A93C" w14:textId="77777777" w:rsidTr="000601CB">
        <w:trPr>
          <w:trHeight w:val="279"/>
          <w:tblCellSpacing w:w="5" w:type="dxa"/>
        </w:trPr>
        <w:tc>
          <w:tcPr>
            <w:tcW w:w="1078" w:type="dxa"/>
            <w:tcBorders>
              <w:top w:val="nil"/>
              <w:left w:val="nil"/>
              <w:bottom w:val="nil"/>
              <w:right w:val="nil"/>
            </w:tcBorders>
            <w:shd w:val="clear" w:color="auto" w:fill="FFFFFF"/>
            <w:vAlign w:val="center"/>
            <w:hideMark/>
          </w:tcPr>
          <w:p w14:paraId="09DE07A8"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EITHER</w:t>
            </w:r>
          </w:p>
        </w:tc>
        <w:tc>
          <w:tcPr>
            <w:tcW w:w="4043" w:type="dxa"/>
            <w:tcBorders>
              <w:top w:val="nil"/>
              <w:left w:val="nil"/>
              <w:bottom w:val="nil"/>
              <w:right w:val="nil"/>
            </w:tcBorders>
            <w:shd w:val="clear" w:color="auto" w:fill="FFFFFF"/>
            <w:vAlign w:val="center"/>
            <w:hideMark/>
          </w:tcPr>
          <w:p w14:paraId="25D8612B"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Literacy (writing) US32405, 5 credits</w:t>
            </w:r>
          </w:p>
        </w:tc>
        <w:tc>
          <w:tcPr>
            <w:tcW w:w="454" w:type="dxa"/>
            <w:tcBorders>
              <w:top w:val="nil"/>
              <w:left w:val="nil"/>
              <w:bottom w:val="nil"/>
              <w:right w:val="nil"/>
            </w:tcBorders>
            <w:shd w:val="clear" w:color="auto" w:fill="FFFFFF"/>
            <w:vAlign w:val="center"/>
            <w:hideMark/>
          </w:tcPr>
          <w:p w14:paraId="79147DBE"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OR</w:t>
            </w:r>
          </w:p>
        </w:tc>
        <w:tc>
          <w:tcPr>
            <w:tcW w:w="4475" w:type="dxa"/>
            <w:tcBorders>
              <w:top w:val="nil"/>
              <w:left w:val="nil"/>
              <w:bottom w:val="nil"/>
              <w:right w:val="nil"/>
            </w:tcBorders>
            <w:shd w:val="clear" w:color="auto" w:fill="FFFFFF"/>
            <w:vAlign w:val="center"/>
            <w:hideMark/>
          </w:tcPr>
          <w:p w14:paraId="2228DB09"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Writing US26622, 4 credits</w:t>
            </w:r>
          </w:p>
        </w:tc>
      </w:tr>
      <w:tr w:rsidR="000629A0" w:rsidRPr="00D95C62" w14:paraId="1A6073FE" w14:textId="77777777" w:rsidTr="000601CB">
        <w:trPr>
          <w:trHeight w:val="811"/>
          <w:tblCellSpacing w:w="5" w:type="dxa"/>
        </w:trPr>
        <w:tc>
          <w:tcPr>
            <w:tcW w:w="1078" w:type="dxa"/>
            <w:tcBorders>
              <w:top w:val="nil"/>
              <w:left w:val="nil"/>
              <w:bottom w:val="nil"/>
              <w:right w:val="nil"/>
            </w:tcBorders>
            <w:shd w:val="clear" w:color="auto" w:fill="FFFFFF"/>
            <w:vAlign w:val="center"/>
            <w:hideMark/>
          </w:tcPr>
          <w:p w14:paraId="67D428C7"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EITHER</w:t>
            </w:r>
          </w:p>
        </w:tc>
        <w:tc>
          <w:tcPr>
            <w:tcW w:w="4043" w:type="dxa"/>
            <w:tcBorders>
              <w:top w:val="nil"/>
              <w:left w:val="nil"/>
              <w:bottom w:val="nil"/>
              <w:right w:val="nil"/>
            </w:tcBorders>
            <w:shd w:val="clear" w:color="auto" w:fill="FFFFFF"/>
            <w:vAlign w:val="center"/>
            <w:hideMark/>
          </w:tcPr>
          <w:p w14:paraId="512D4D28"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Numeracy US32406, 10 credits</w:t>
            </w:r>
          </w:p>
        </w:tc>
        <w:tc>
          <w:tcPr>
            <w:tcW w:w="454" w:type="dxa"/>
            <w:tcBorders>
              <w:top w:val="nil"/>
              <w:left w:val="nil"/>
              <w:bottom w:val="nil"/>
              <w:right w:val="nil"/>
            </w:tcBorders>
            <w:shd w:val="clear" w:color="auto" w:fill="FFFFFF"/>
            <w:vAlign w:val="center"/>
            <w:hideMark/>
          </w:tcPr>
          <w:p w14:paraId="51F5E2D4"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OR</w:t>
            </w:r>
          </w:p>
        </w:tc>
        <w:tc>
          <w:tcPr>
            <w:tcW w:w="4475" w:type="dxa"/>
            <w:tcBorders>
              <w:top w:val="nil"/>
              <w:left w:val="nil"/>
              <w:bottom w:val="nil"/>
              <w:right w:val="nil"/>
            </w:tcBorders>
            <w:shd w:val="clear" w:color="auto" w:fill="FFFFFF"/>
            <w:vAlign w:val="center"/>
            <w:hideMark/>
          </w:tcPr>
          <w:p w14:paraId="610BBD0D" w14:textId="77777777" w:rsidR="000629A0" w:rsidRPr="00D95C62" w:rsidRDefault="000629A0" w:rsidP="000601CB">
            <w:pPr>
              <w:spacing w:line="240" w:lineRule="auto"/>
              <w:rPr>
                <w:rFonts w:ascii="Arial" w:eastAsia="Times New Roman" w:hAnsi="Arial" w:cs="Arial"/>
                <w:color w:val="050505"/>
                <w:sz w:val="20"/>
                <w:szCs w:val="20"/>
                <w:lang w:eastAsia="en-NZ"/>
              </w:rPr>
            </w:pPr>
            <w:r w:rsidRPr="00D95C62">
              <w:rPr>
                <w:rFonts w:ascii="Arial" w:eastAsia="Times New Roman" w:hAnsi="Arial" w:cs="Arial"/>
                <w:color w:val="050505"/>
                <w:sz w:val="20"/>
                <w:szCs w:val="20"/>
                <w:lang w:eastAsia="en-NZ"/>
              </w:rPr>
              <w:t>Numeracy: number US26623, 4 credits, statistics US26626, 3 credits or measurement US26627, 3 credits</w:t>
            </w:r>
          </w:p>
        </w:tc>
      </w:tr>
    </w:tbl>
    <w:p w14:paraId="014E89B4" w14:textId="77777777" w:rsidR="000629A0" w:rsidRPr="00D95C62" w:rsidRDefault="000629A0" w:rsidP="000629A0">
      <w:pPr>
        <w:shd w:val="clear" w:color="auto" w:fill="FAFAFA"/>
        <w:spacing w:before="100" w:beforeAutospacing="1" w:after="100" w:afterAutospacing="1" w:line="240" w:lineRule="auto"/>
        <w:rPr>
          <w:rFonts w:ascii="Arial" w:eastAsia="Times New Roman" w:hAnsi="Arial" w:cs="Arial"/>
          <w:color w:val="000000"/>
          <w:sz w:val="20"/>
          <w:szCs w:val="20"/>
          <w:lang w:eastAsia="en-NZ"/>
        </w:rPr>
      </w:pPr>
      <w:r w:rsidRPr="00D95C62">
        <w:rPr>
          <w:rFonts w:ascii="Arial" w:eastAsia="Times New Roman" w:hAnsi="Arial" w:cs="Arial"/>
          <w:color w:val="000000"/>
          <w:sz w:val="20"/>
          <w:szCs w:val="20"/>
          <w:lang w:eastAsia="en-NZ"/>
        </w:rPr>
        <w:t>Table 2</w:t>
      </w:r>
    </w:p>
    <w:p w14:paraId="3D057B3C" w14:textId="77777777" w:rsidR="000629A0" w:rsidRPr="001309EA" w:rsidRDefault="000629A0" w:rsidP="000629A0">
      <w:pPr>
        <w:rPr>
          <w:rFonts w:ascii="Arial" w:hAnsi="Arial" w:cs="Arial"/>
          <w:sz w:val="20"/>
          <w:szCs w:val="20"/>
        </w:rPr>
      </w:pPr>
      <w:hyperlink r:id="rId15" w:history="1">
        <w:r w:rsidRPr="001309EA">
          <w:rPr>
            <w:rStyle w:val="Hyperlink"/>
            <w:rFonts w:ascii="Arial" w:hAnsi="Arial" w:cs="Arial"/>
            <w:sz w:val="20"/>
            <w:szCs w:val="20"/>
          </w:rPr>
          <w:t>https://ncea.education.govt.nz/understanding-how-ncea-requirements-are-changing#:~:text=There%20are%20also%20some%20exclusions%20which%20will,from%20the%20new%20literacy%20and%20numeracy%20standards</w:t>
        </w:r>
      </w:hyperlink>
      <w:r w:rsidRPr="001309EA">
        <w:rPr>
          <w:rFonts w:ascii="Arial" w:hAnsi="Arial" w:cs="Arial"/>
          <w:sz w:val="20"/>
          <w:szCs w:val="20"/>
        </w:rPr>
        <w:t>.</w:t>
      </w:r>
    </w:p>
    <w:p w14:paraId="16557329" w14:textId="77777777" w:rsidR="000629A0" w:rsidRPr="001309EA" w:rsidRDefault="000629A0" w:rsidP="000629A0">
      <w:pPr>
        <w:rPr>
          <w:rFonts w:ascii="Arial" w:hAnsi="Arial" w:cs="Arial"/>
          <w:sz w:val="20"/>
          <w:szCs w:val="20"/>
        </w:rPr>
      </w:pPr>
    </w:p>
    <w:p w14:paraId="672F99F9" w14:textId="77777777" w:rsidR="000629A0" w:rsidRPr="001309EA" w:rsidRDefault="000629A0" w:rsidP="000629A0">
      <w:pPr>
        <w:rPr>
          <w:rFonts w:ascii="Arial" w:hAnsi="Arial" w:cs="Arial"/>
          <w:b/>
          <w:bCs/>
          <w:color w:val="FF0000"/>
          <w:sz w:val="20"/>
          <w:szCs w:val="20"/>
        </w:rPr>
      </w:pPr>
      <w:r w:rsidRPr="001309EA">
        <w:rPr>
          <w:rFonts w:ascii="Arial" w:hAnsi="Arial" w:cs="Arial"/>
          <w:b/>
          <w:bCs/>
          <w:color w:val="FF0000"/>
          <w:sz w:val="20"/>
          <w:szCs w:val="20"/>
        </w:rPr>
        <w:t>The way I understand the information above is that if a student achieves US26624 Reading and/or US26622 Writing in 2022, they cannot use them next year to go toward their 60 NCEA credits.  Hopefully, though, students achieve BOTH of these standards this year AS WELL AS US26625 Speaking to tick the ‘Literacy’ box before they move into further studies toward NCEA next year.</w:t>
      </w:r>
    </w:p>
    <w:p w14:paraId="1E68EFA2" w14:textId="77777777" w:rsidR="000629A0" w:rsidRPr="001309EA" w:rsidRDefault="000629A0" w:rsidP="00095D54">
      <w:pPr>
        <w:pStyle w:val="NormalWeb"/>
        <w:shd w:val="clear" w:color="auto" w:fill="FAFAFA"/>
        <w:rPr>
          <w:rFonts w:ascii="Arial" w:hAnsi="Arial" w:cs="Arial"/>
          <w:color w:val="000000"/>
          <w:sz w:val="20"/>
          <w:szCs w:val="20"/>
        </w:rPr>
      </w:pPr>
    </w:p>
    <w:sectPr w:rsidR="000629A0" w:rsidRPr="001309EA" w:rsidSect="005107D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revisionView w:comments="0" w:insDel="0" w:formatting="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06"/>
    <w:rsid w:val="000629A0"/>
    <w:rsid w:val="00095D54"/>
    <w:rsid w:val="001309EA"/>
    <w:rsid w:val="001B6821"/>
    <w:rsid w:val="002D0491"/>
    <w:rsid w:val="00424C5E"/>
    <w:rsid w:val="005107D1"/>
    <w:rsid w:val="00535F42"/>
    <w:rsid w:val="00560206"/>
    <w:rsid w:val="005E7246"/>
    <w:rsid w:val="006219F8"/>
    <w:rsid w:val="009B3D2F"/>
    <w:rsid w:val="00BB2925"/>
    <w:rsid w:val="00CB4CAD"/>
    <w:rsid w:val="00CE5DFB"/>
    <w:rsid w:val="00D80D07"/>
    <w:rsid w:val="00DA34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FE2A"/>
  <w15:chartTrackingRefBased/>
  <w15:docId w15:val="{45828C8C-78D3-4782-8995-B3C2BCDD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6219F8"/>
    <w:rPr>
      <w:color w:val="0070C0"/>
      <w:u w:val="single"/>
    </w:rPr>
  </w:style>
  <w:style w:type="character" w:styleId="Hyperlink">
    <w:name w:val="Hyperlink"/>
    <w:basedOn w:val="DefaultParagraphFont"/>
    <w:uiPriority w:val="99"/>
    <w:unhideWhenUsed/>
    <w:rsid w:val="006219F8"/>
    <w:rPr>
      <w:color w:val="0563C1" w:themeColor="hyperlink"/>
      <w:u w:val="single"/>
    </w:rPr>
  </w:style>
  <w:style w:type="character" w:styleId="UnresolvedMention">
    <w:name w:val="Unresolved Mention"/>
    <w:basedOn w:val="DefaultParagraphFont"/>
    <w:uiPriority w:val="99"/>
    <w:semiHidden/>
    <w:unhideWhenUsed/>
    <w:rsid w:val="001B6821"/>
    <w:rPr>
      <w:color w:val="605E5C"/>
      <w:shd w:val="clear" w:color="auto" w:fill="E1DFDD"/>
    </w:rPr>
  </w:style>
  <w:style w:type="paragraph" w:styleId="NormalWeb">
    <w:name w:val="Normal (Web)"/>
    <w:basedOn w:val="Normal"/>
    <w:uiPriority w:val="99"/>
    <w:unhideWhenUsed/>
    <w:rsid w:val="00BB292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B4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2961">
      <w:bodyDiv w:val="1"/>
      <w:marLeft w:val="0"/>
      <w:marRight w:val="0"/>
      <w:marTop w:val="0"/>
      <w:marBottom w:val="0"/>
      <w:divBdr>
        <w:top w:val="none" w:sz="0" w:space="0" w:color="auto"/>
        <w:left w:val="none" w:sz="0" w:space="0" w:color="auto"/>
        <w:bottom w:val="none" w:sz="0" w:space="0" w:color="auto"/>
        <w:right w:val="none" w:sz="0" w:space="0" w:color="auto"/>
      </w:divBdr>
    </w:div>
    <w:div w:id="7905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a.education.govt.nz/te-reo-matatini-me-te-pangarau/te-reo-matatini/te-ako" TargetMode="External"/><Relationship Id="rId13" Type="http://schemas.openxmlformats.org/officeDocument/2006/relationships/hyperlink" Target="https://www.nzqa.govt.nz/ncea/subjects/literacy-and-numeracy/level-1-requirements/" TargetMode="External"/><Relationship Id="rId3" Type="http://schemas.openxmlformats.org/officeDocument/2006/relationships/webSettings" Target="webSettings.xml"/><Relationship Id="rId7" Type="http://schemas.openxmlformats.org/officeDocument/2006/relationships/hyperlink" Target="https://ncea.education.govt.nz/understanding-how-ncea-requirements-are-changing#:~:text=All%20NCEA%20subjects,assessed%20standard%20achieved" TargetMode="External"/><Relationship Id="rId12" Type="http://schemas.openxmlformats.org/officeDocument/2006/relationships/hyperlink" Target="https://ncea.education.govt.nz/understanding-how-ncea-requirements-are-changing#:~:text=On%20the%20current%20timeline%2C%20the,standar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cea.education.govt.nz/understanding-how-ncea-requirements-are-changing#:~:text=Learners%20can%20use,and%20Numeracy%20standards" TargetMode="External"/><Relationship Id="rId11" Type="http://schemas.openxmlformats.org/officeDocument/2006/relationships/hyperlink" Target="https://ncea.education.govt.nz/literacy-and-numeracy/numeracy/learning" TargetMode="External"/><Relationship Id="rId5" Type="http://schemas.openxmlformats.org/officeDocument/2006/relationships/hyperlink" Target="https://ncea.education.govt.nz/understanding-how-ncea-requirements-are-changing#:~:text=Learners%20will%20be,their%20NCEA%20studies" TargetMode="External"/><Relationship Id="rId15" Type="http://schemas.openxmlformats.org/officeDocument/2006/relationships/hyperlink" Target="https://ncea.education.govt.nz/understanding-how-ncea-requirements-are-changing#:~:text=There%20are%20also%20some%20exclusions%20which%20will,from%20the%20new%20literacy%20and%20numeracy%20standards" TargetMode="External"/><Relationship Id="rId10" Type="http://schemas.openxmlformats.org/officeDocument/2006/relationships/hyperlink" Target="https://ncea.education.govt.nz/te-reo-matatini-me-te-pangarau/pangarau/te-ako" TargetMode="External"/><Relationship Id="rId4" Type="http://schemas.openxmlformats.org/officeDocument/2006/relationships/hyperlink" Target="https://ncea.education.govt.nz/understanding-how-ncea-requirements-are-changing#:~:text=These%20changes%20are,implemented%20in%202024%2C" TargetMode="External"/><Relationship Id="rId9" Type="http://schemas.openxmlformats.org/officeDocument/2006/relationships/hyperlink" Target="https://ncea.education.govt.nz/literacy-and-numeracy/literacy/learning" TargetMode="External"/><Relationship Id="rId14" Type="http://schemas.openxmlformats.org/officeDocument/2006/relationships/hyperlink" Target="https://ncea.education.govt.nz/understanding-how-ncea-requirements-are-changing#:~:text=Right%20now%2C%20the,the%20transition%20peri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de Lautour</dc:creator>
  <cp:keywords/>
  <dc:description/>
  <cp:lastModifiedBy>Sue de Lautour</cp:lastModifiedBy>
  <cp:revision>7</cp:revision>
  <dcterms:created xsi:type="dcterms:W3CDTF">2022-05-27T00:13:00Z</dcterms:created>
  <dcterms:modified xsi:type="dcterms:W3CDTF">2022-05-27T01:10:00Z</dcterms:modified>
</cp:coreProperties>
</file>